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0E1" w:rsidRDefault="002C30E1" w:rsidP="002C30E1">
      <w:pPr>
        <w:pStyle w:val="a3"/>
        <w:rPr>
          <w:sz w:val="24"/>
        </w:rPr>
      </w:pPr>
      <w:r>
        <w:rPr>
          <w:sz w:val="24"/>
        </w:rPr>
        <w:t xml:space="preserve">Д О Г О В О Р № ______ </w:t>
      </w:r>
    </w:p>
    <w:p w:rsidR="002C30E1" w:rsidRDefault="002C30E1" w:rsidP="002C30E1">
      <w:pPr>
        <w:jc w:val="center"/>
        <w:rPr>
          <w:b/>
          <w:bCs/>
        </w:rPr>
      </w:pPr>
      <w:r>
        <w:rPr>
          <w:b/>
          <w:bCs/>
        </w:rPr>
        <w:t>об образовании по дополнительным общеобразовательным программам</w:t>
      </w:r>
    </w:p>
    <w:p w:rsidR="002C30E1" w:rsidRDefault="002C30E1" w:rsidP="002C30E1">
      <w:pPr>
        <w:jc w:val="center"/>
        <w:rPr>
          <w:sz w:val="18"/>
        </w:rPr>
      </w:pPr>
    </w:p>
    <w:p w:rsidR="002C30E1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Пятигорск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 ____________ 20___  года</w:t>
      </w:r>
    </w:p>
    <w:p w:rsidR="002C30E1" w:rsidRDefault="002C30E1" w:rsidP="002C30E1">
      <w:pPr>
        <w:jc w:val="both"/>
        <w:rPr>
          <w:sz w:val="20"/>
          <w:szCs w:val="20"/>
        </w:rPr>
      </w:pPr>
    </w:p>
    <w:p w:rsidR="002C30E1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Муниципальное бюджетное общеобразовательное учреждение казачья средняя общеобразовательная школа № 19  города Пятигорска, осуществляющее образовательную деятельность на основании лицензии </w:t>
      </w:r>
      <w:r w:rsidRPr="00F34EE1">
        <w:rPr>
          <w:sz w:val="18"/>
          <w:szCs w:val="18"/>
        </w:rPr>
        <w:t xml:space="preserve">рег. </w:t>
      </w:r>
      <w:r w:rsidRPr="00466D50">
        <w:rPr>
          <w:sz w:val="18"/>
          <w:szCs w:val="18"/>
        </w:rPr>
        <w:t>No Л035-01217-</w:t>
      </w:r>
      <w:r w:rsidRPr="00EB24E2">
        <w:rPr>
          <w:sz w:val="20"/>
          <w:szCs w:val="20"/>
        </w:rPr>
        <w:t>26/00329915 от «10» февраля 2016 года</w:t>
      </w:r>
      <w:r w:rsidRPr="00F34EE1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выданной Министерством образования Ставропольского края, бессрочно,</w:t>
      </w:r>
      <w:r w:rsidRPr="00AC6A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именуемое в дальнейшем «Исполнитель», в лице директора </w:t>
      </w:r>
      <w:r>
        <w:rPr>
          <w:b/>
          <w:i/>
          <w:sz w:val="20"/>
          <w:szCs w:val="20"/>
        </w:rPr>
        <w:t>Филь Марины Федоровны</w:t>
      </w:r>
      <w:r>
        <w:rPr>
          <w:sz w:val="20"/>
          <w:szCs w:val="20"/>
        </w:rPr>
        <w:t xml:space="preserve">, действующей на основании Устава, с одной стороны, и </w:t>
      </w:r>
      <w:r w:rsidRPr="00F56B6D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F56B6D">
        <w:rPr>
          <w:sz w:val="28"/>
          <w:szCs w:val="28"/>
        </w:rPr>
        <w:t>________</w:t>
      </w:r>
      <w:r w:rsidRPr="00F56B6D">
        <w:rPr>
          <w:sz w:val="20"/>
          <w:szCs w:val="20"/>
        </w:rPr>
        <w:t>,</w:t>
      </w:r>
    </w:p>
    <w:p w:rsidR="002C30E1" w:rsidRPr="00F56B6D" w:rsidRDefault="002C30E1" w:rsidP="002C30E1">
      <w:pPr>
        <w:jc w:val="center"/>
        <w:rPr>
          <w:sz w:val="20"/>
          <w:szCs w:val="20"/>
          <w:vertAlign w:val="superscript"/>
        </w:rPr>
      </w:pPr>
      <w:r w:rsidRPr="00F56B6D">
        <w:rPr>
          <w:sz w:val="20"/>
          <w:szCs w:val="20"/>
          <w:vertAlign w:val="superscript"/>
        </w:rPr>
        <w:t>(Ф.И.О. родителя, законного представителя лица, зачисляемого на обучение)</w:t>
      </w:r>
    </w:p>
    <w:p w:rsidR="002C30E1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«Заказчик», действующий(-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интересах несовершеннолетнего___________________</w:t>
      </w:r>
    </w:p>
    <w:p w:rsidR="002C30E1" w:rsidRPr="00F56B6D" w:rsidRDefault="002C30E1" w:rsidP="002C30E1">
      <w:pPr>
        <w:jc w:val="both"/>
        <w:rPr>
          <w:sz w:val="20"/>
          <w:szCs w:val="20"/>
        </w:rPr>
      </w:pPr>
      <w:r w:rsidRPr="00F56B6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</w:t>
      </w:r>
      <w:r>
        <w:rPr>
          <w:sz w:val="20"/>
          <w:szCs w:val="20"/>
        </w:rPr>
        <w:t>,</w:t>
      </w:r>
    </w:p>
    <w:p w:rsidR="002C30E1" w:rsidRPr="00F56B6D" w:rsidRDefault="002C30E1" w:rsidP="002C30E1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 w:rsidRPr="00F56B6D">
        <w:rPr>
          <w:sz w:val="20"/>
          <w:szCs w:val="20"/>
          <w:vertAlign w:val="superscript"/>
        </w:rPr>
        <w:t xml:space="preserve">(Ф.И.О. </w:t>
      </w:r>
      <w:r>
        <w:rPr>
          <w:sz w:val="20"/>
          <w:szCs w:val="20"/>
          <w:vertAlign w:val="superscript"/>
        </w:rPr>
        <w:t>лица,</w:t>
      </w:r>
      <w:r w:rsidRPr="00F56B6D">
        <w:rPr>
          <w:sz w:val="20"/>
          <w:szCs w:val="20"/>
          <w:vertAlign w:val="superscript"/>
        </w:rPr>
        <w:t xml:space="preserve"> зачисляемого на обучение)</w:t>
      </w:r>
    </w:p>
    <w:p w:rsidR="002C30E1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«Обучающийся», совместно именуемые стороны, заключили настоящий Договор о нижеследующем.</w:t>
      </w:r>
    </w:p>
    <w:p w:rsidR="002C30E1" w:rsidRPr="00E40768" w:rsidRDefault="002C30E1" w:rsidP="002C30E1">
      <w:pPr>
        <w:jc w:val="center"/>
        <w:rPr>
          <w:b/>
          <w:bCs/>
          <w:sz w:val="22"/>
          <w:szCs w:val="22"/>
        </w:rPr>
      </w:pPr>
      <w:r w:rsidRPr="00E40768">
        <w:rPr>
          <w:b/>
          <w:bCs/>
          <w:sz w:val="22"/>
          <w:szCs w:val="22"/>
        </w:rPr>
        <w:t>1. Предмет договора</w:t>
      </w:r>
    </w:p>
    <w:p w:rsidR="002C30E1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5E3D">
        <w:rPr>
          <w:rFonts w:ascii="Times New Roman" w:hAnsi="Times New Roman" w:cs="Times New Roman"/>
        </w:rPr>
        <w:t xml:space="preserve">1.1.   Исполнитель   обязуется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предоставить,  а</w:t>
      </w:r>
      <w:proofErr w:type="gramEnd"/>
      <w:r>
        <w:rPr>
          <w:rFonts w:ascii="Times New Roman" w:hAnsi="Times New Roman" w:cs="Times New Roman"/>
        </w:rPr>
        <w:t xml:space="preserve">  </w:t>
      </w:r>
      <w:r w:rsidRPr="00F25E3D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F25E3D">
        <w:rPr>
          <w:rFonts w:ascii="Times New Roman" w:hAnsi="Times New Roman" w:cs="Times New Roman"/>
        </w:rPr>
        <w:t xml:space="preserve">  обязуется    оплатить    образовательную    услугу</w:t>
      </w:r>
      <w:r>
        <w:rPr>
          <w:rFonts w:ascii="Times New Roman" w:hAnsi="Times New Roman" w:cs="Times New Roman"/>
        </w:rPr>
        <w:t xml:space="preserve">                </w:t>
      </w:r>
      <w:r w:rsidRPr="00F25E3D">
        <w:rPr>
          <w:rFonts w:ascii="Times New Roman" w:hAnsi="Times New Roman" w:cs="Times New Roman"/>
        </w:rPr>
        <w:t>по  обучению  в   рамках   дополнительной   общеобразовательной  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направленности кружка «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» (форма обучения – групповая), в соответствии с учебным </w:t>
      </w:r>
      <w:r w:rsidRPr="00F25E3D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ом.</w:t>
      </w:r>
      <w:r w:rsidRPr="00F25E3D">
        <w:rPr>
          <w:rFonts w:ascii="Times New Roman" w:hAnsi="Times New Roman" w:cs="Times New Roman"/>
        </w:rPr>
        <w:t xml:space="preserve">  </w:t>
      </w:r>
    </w:p>
    <w:p w:rsidR="002C30E1" w:rsidRPr="00F25E3D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F25E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25E3D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r>
        <w:rPr>
          <w:rFonts w:ascii="Times New Roman" w:hAnsi="Times New Roman" w:cs="Times New Roman"/>
        </w:rPr>
        <w:t xml:space="preserve"> </w:t>
      </w:r>
      <w:r w:rsidRPr="00F25E3D">
        <w:rPr>
          <w:rFonts w:ascii="Times New Roman" w:hAnsi="Times New Roman" w:cs="Times New Roman"/>
        </w:rPr>
        <w:t>Договора составляет</w:t>
      </w:r>
      <w:r>
        <w:rPr>
          <w:rFonts w:ascii="Times New Roman" w:hAnsi="Times New Roman" w:cs="Times New Roman"/>
        </w:rPr>
        <w:t xml:space="preserve"> __ месяцев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часов  в месяц).</w:t>
      </w:r>
    </w:p>
    <w:p w:rsidR="002C30E1" w:rsidRDefault="002C30E1" w:rsidP="002C30E1">
      <w:pPr>
        <w:jc w:val="center"/>
        <w:rPr>
          <w:b/>
          <w:bCs/>
          <w:sz w:val="22"/>
          <w:szCs w:val="22"/>
        </w:rPr>
      </w:pPr>
    </w:p>
    <w:p w:rsidR="002C30E1" w:rsidRPr="00816505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6505">
        <w:rPr>
          <w:rFonts w:ascii="Times New Roman" w:hAnsi="Times New Roman" w:cs="Times New Roman"/>
          <w:b/>
        </w:rPr>
        <w:t>2. Права Исполнителя, Заказчика и Обучающегося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9019D">
        <w:rPr>
          <w:rFonts w:ascii="Times New Roman" w:hAnsi="Times New Roman" w:cs="Times New Roman"/>
        </w:rPr>
        <w:t xml:space="preserve">    </w:t>
      </w:r>
      <w:r w:rsidRPr="00816505">
        <w:rPr>
          <w:rFonts w:ascii="Times New Roman" w:hAnsi="Times New Roman" w:cs="Times New Roman"/>
          <w:u w:val="single"/>
        </w:rPr>
        <w:t>2.1. Исполнитель вправе: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2.1.1.   Самостоятельно   или   на   основе   сетевого   взаимодействия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6505">
        <w:rPr>
          <w:rFonts w:ascii="Times New Roman" w:hAnsi="Times New Roman" w:cs="Times New Roman"/>
        </w:rPr>
        <w:t>осуществлять  образовательный</w:t>
      </w:r>
      <w:proofErr w:type="gramEnd"/>
      <w:r w:rsidRPr="00816505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2.1.2.  </w:t>
      </w:r>
      <w:proofErr w:type="gramStart"/>
      <w:r w:rsidRPr="00816505">
        <w:rPr>
          <w:rFonts w:ascii="Times New Roman" w:hAnsi="Times New Roman" w:cs="Times New Roman"/>
        </w:rPr>
        <w:t>Применять  к</w:t>
      </w:r>
      <w:proofErr w:type="gramEnd"/>
      <w:r w:rsidRPr="00816505">
        <w:rPr>
          <w:rFonts w:ascii="Times New Roman" w:hAnsi="Times New Roman" w:cs="Times New Roman"/>
        </w:rPr>
        <w:t xml:space="preserve"> Обучающемуся меры поощрения и меры дисциплинарного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взыскания   в   соответствии   с  законодательством  Российской  Федерации,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учредительными  документами  Исполнителя,  настоящим Договором и локальными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нормативными актами Исполнителя.</w:t>
      </w:r>
    </w:p>
    <w:p w:rsidR="002C30E1" w:rsidRDefault="002C30E1" w:rsidP="002C30E1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2.1.3. Изменить график работы предоставления услуги в связи с производственной необходимостью.</w:t>
      </w:r>
    </w:p>
    <w:p w:rsidR="002C30E1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2.1.4. Отчислить учащегося из группы в случае неоплаты Заказчиком полученных услуг в течение 2-х месяцев или при отсутствии ребенка на   занятиях без уважительных причин в течение 3-х недель.</w:t>
      </w:r>
    </w:p>
    <w:p w:rsidR="002C30E1" w:rsidRPr="00B9019D" w:rsidRDefault="002C30E1" w:rsidP="002C30E1">
      <w:pPr>
        <w:jc w:val="both"/>
        <w:rPr>
          <w:sz w:val="20"/>
          <w:szCs w:val="20"/>
          <w:u w:val="single"/>
        </w:rPr>
      </w:pPr>
      <w:r w:rsidRPr="00816505">
        <w:rPr>
          <w:sz w:val="20"/>
          <w:szCs w:val="20"/>
        </w:rPr>
        <w:t xml:space="preserve">    </w:t>
      </w:r>
      <w:r w:rsidRPr="00B9019D">
        <w:rPr>
          <w:sz w:val="20"/>
          <w:szCs w:val="20"/>
          <w:u w:val="single"/>
        </w:rPr>
        <w:t>2.2. Заказчик вправе:</w:t>
      </w:r>
    </w:p>
    <w:p w:rsidR="002C30E1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2.2.1.  </w:t>
      </w:r>
      <w:proofErr w:type="gramStart"/>
      <w:r w:rsidRPr="00816505">
        <w:rPr>
          <w:rFonts w:ascii="Times New Roman" w:hAnsi="Times New Roman" w:cs="Times New Roman"/>
        </w:rPr>
        <w:t>Получать  информацию</w:t>
      </w:r>
      <w:proofErr w:type="gramEnd"/>
      <w:r w:rsidRPr="00816505">
        <w:rPr>
          <w:rFonts w:ascii="Times New Roman" w:hAnsi="Times New Roman" w:cs="Times New Roman"/>
        </w:rPr>
        <w:t xml:space="preserve">  от  Исполнителя по вопросам организации и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 xml:space="preserve">обеспечения  надлежащего  предоставления  услуг, предусмотренных разделом </w:t>
      </w:r>
      <w:r>
        <w:rPr>
          <w:rFonts w:ascii="Times New Roman" w:hAnsi="Times New Roman" w:cs="Times New Roman"/>
        </w:rPr>
        <w:t xml:space="preserve">1 </w:t>
      </w:r>
      <w:r w:rsidRPr="00816505">
        <w:rPr>
          <w:rFonts w:ascii="Times New Roman" w:hAnsi="Times New Roman" w:cs="Times New Roman"/>
        </w:rPr>
        <w:t>настоящего Договора.</w:t>
      </w:r>
    </w:p>
    <w:p w:rsidR="002C30E1" w:rsidRPr="00B9019D" w:rsidRDefault="002C30E1" w:rsidP="002C3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019D">
        <w:rPr>
          <w:sz w:val="20"/>
          <w:szCs w:val="20"/>
        </w:rPr>
        <w:t xml:space="preserve">   2.3.</w:t>
      </w:r>
      <w:r w:rsidRPr="00816505">
        <w:t xml:space="preserve">  </w:t>
      </w:r>
      <w:r w:rsidRPr="00B9019D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5" w:history="1">
        <w:r w:rsidRPr="00B9019D">
          <w:rPr>
            <w:sz w:val="20"/>
            <w:szCs w:val="20"/>
          </w:rPr>
          <w:t>частью  1  статьи 34</w:t>
        </w:r>
      </w:hyperlink>
      <w:r w:rsidRPr="00B9019D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Обучающийся также вправе: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2.3.1.  </w:t>
      </w:r>
      <w:proofErr w:type="gramStart"/>
      <w:r w:rsidRPr="00816505">
        <w:rPr>
          <w:rFonts w:ascii="Times New Roman" w:hAnsi="Times New Roman" w:cs="Times New Roman"/>
        </w:rPr>
        <w:t>Получать  информацию</w:t>
      </w:r>
      <w:proofErr w:type="gramEnd"/>
      <w:r w:rsidRPr="00816505">
        <w:rPr>
          <w:rFonts w:ascii="Times New Roman" w:hAnsi="Times New Roman" w:cs="Times New Roman"/>
        </w:rPr>
        <w:t xml:space="preserve">  от  Исполнителя по вопросам организации и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 xml:space="preserve">обеспечения  надлежащего  предоставления  услуг, предусмотренных </w:t>
      </w:r>
      <w:hyperlink r:id="rId6" w:history="1">
        <w:r w:rsidRPr="00B9019D">
          <w:rPr>
            <w:rFonts w:ascii="Times New Roman" w:hAnsi="Times New Roman" w:cs="Times New Roman"/>
          </w:rPr>
          <w:t>разделом</w:t>
        </w:r>
      </w:hyperlink>
      <w:r w:rsidRPr="00B9019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настоящего Договора.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2.3.2.    Обращаться    к    Исполнителю    по   </w:t>
      </w:r>
      <w:proofErr w:type="gramStart"/>
      <w:r w:rsidRPr="00816505">
        <w:rPr>
          <w:rFonts w:ascii="Times New Roman" w:hAnsi="Times New Roman" w:cs="Times New Roman"/>
        </w:rPr>
        <w:t xml:space="preserve">вопросам,   </w:t>
      </w:r>
      <w:proofErr w:type="gramEnd"/>
      <w:r w:rsidRPr="00816505">
        <w:rPr>
          <w:rFonts w:ascii="Times New Roman" w:hAnsi="Times New Roman" w:cs="Times New Roman"/>
        </w:rPr>
        <w:t>касающимся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образовательного процесса.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2.3.3.  </w:t>
      </w:r>
      <w:proofErr w:type="gramStart"/>
      <w:r w:rsidRPr="00816505">
        <w:rPr>
          <w:rFonts w:ascii="Times New Roman" w:hAnsi="Times New Roman" w:cs="Times New Roman"/>
        </w:rPr>
        <w:t>Пользоваться  в</w:t>
      </w:r>
      <w:proofErr w:type="gramEnd"/>
      <w:r w:rsidRPr="00816505">
        <w:rPr>
          <w:rFonts w:ascii="Times New Roman" w:hAnsi="Times New Roman" w:cs="Times New Roman"/>
        </w:rPr>
        <w:t xml:space="preserve">  порядке, установленном локальными нормативными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актами,  имуществом  Исполнителя,  необходимым для освоения образовательной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программы.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2.3.4.  </w:t>
      </w:r>
      <w:proofErr w:type="gramStart"/>
      <w:r w:rsidRPr="00816505">
        <w:rPr>
          <w:rFonts w:ascii="Times New Roman" w:hAnsi="Times New Roman" w:cs="Times New Roman"/>
        </w:rPr>
        <w:t>Принимать  в</w:t>
      </w:r>
      <w:proofErr w:type="gramEnd"/>
      <w:r w:rsidRPr="00816505">
        <w:rPr>
          <w:rFonts w:ascii="Times New Roman" w:hAnsi="Times New Roman" w:cs="Times New Roman"/>
        </w:rPr>
        <w:t xml:space="preserve">  порядке,  установленном  локальными  нормативными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актами,    участие   в   социально-культурных,   оздоровительных   и   иных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мероприятиях, организованных Исполнителем.</w:t>
      </w:r>
    </w:p>
    <w:p w:rsidR="002C30E1" w:rsidRPr="00816505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6505">
        <w:rPr>
          <w:rFonts w:ascii="Times New Roman" w:hAnsi="Times New Roman" w:cs="Times New Roman"/>
        </w:rPr>
        <w:t xml:space="preserve">    2.3.5. Получать полную и достоверную информацию об оценке своих знаний,</w:t>
      </w:r>
      <w:r>
        <w:rPr>
          <w:rFonts w:ascii="Times New Roman" w:hAnsi="Times New Roman" w:cs="Times New Roman"/>
        </w:rPr>
        <w:t xml:space="preserve"> </w:t>
      </w:r>
      <w:r w:rsidRPr="00816505">
        <w:rPr>
          <w:rFonts w:ascii="Times New Roman" w:hAnsi="Times New Roman" w:cs="Times New Roman"/>
        </w:rPr>
        <w:t>умений, навыков и компетенций, а также о критериях этой оценки.</w:t>
      </w:r>
    </w:p>
    <w:p w:rsidR="002C30E1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C30E1" w:rsidRPr="0007000C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00C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2C30E1" w:rsidRDefault="002C30E1" w:rsidP="002C30E1">
      <w:pPr>
        <w:pStyle w:val="ConsPlusNonformat"/>
        <w:jc w:val="both"/>
      </w:pP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7000C">
        <w:rPr>
          <w:rFonts w:ascii="Times New Roman" w:hAnsi="Times New Roman" w:cs="Times New Roman"/>
        </w:rPr>
        <w:t xml:space="preserve">    </w:t>
      </w:r>
      <w:r w:rsidRPr="0007000C">
        <w:rPr>
          <w:rFonts w:ascii="Times New Roman" w:hAnsi="Times New Roman" w:cs="Times New Roman"/>
          <w:u w:val="single"/>
        </w:rPr>
        <w:t>3.1. Исполнитель обязан: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3.1.1.  </w:t>
      </w:r>
      <w:r w:rsidRPr="0007000C">
        <w:rPr>
          <w:rFonts w:ascii="Times New Roman" w:hAnsi="Times New Roman" w:cs="Times New Roman"/>
        </w:rPr>
        <w:t>Зачислить     Обучающегося</w:t>
      </w:r>
      <w:r>
        <w:rPr>
          <w:rFonts w:ascii="Times New Roman" w:hAnsi="Times New Roman" w:cs="Times New Roman"/>
        </w:rPr>
        <w:t xml:space="preserve"> в группу по оказанию платных образовательных услуг.</w:t>
      </w:r>
    </w:p>
    <w:p w:rsidR="002C30E1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3.1.2.  </w:t>
      </w:r>
      <w:r w:rsidRPr="0007000C">
        <w:rPr>
          <w:rFonts w:ascii="Times New Roman" w:hAnsi="Times New Roman" w:cs="Times New Roman"/>
        </w:rPr>
        <w:t>Довести   до   Заказчика  информацию,  содержащую  сведения  о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предоставлении  платных  образовательных  услуг в порядке и объеме, которые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 xml:space="preserve">предусмотрены  </w:t>
      </w:r>
      <w:hyperlink r:id="rId7" w:history="1">
        <w:r w:rsidRPr="0007000C">
          <w:rPr>
            <w:rFonts w:ascii="Times New Roman" w:hAnsi="Times New Roman" w:cs="Times New Roman"/>
          </w:rPr>
          <w:t>Законом</w:t>
        </w:r>
      </w:hyperlink>
      <w:r w:rsidRPr="0007000C">
        <w:rPr>
          <w:rFonts w:ascii="Times New Roman" w:hAnsi="Times New Roman" w:cs="Times New Roman"/>
        </w:rPr>
        <w:t xml:space="preserve">  Российской Федерации "О защите прав потребителей" и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AF6A8F">
          <w:rPr>
            <w:rFonts w:ascii="Times New Roman" w:hAnsi="Times New Roman" w:cs="Times New Roman"/>
          </w:rPr>
          <w:t>законом</w:t>
        </w:r>
      </w:hyperlink>
      <w:r w:rsidRPr="0007000C">
        <w:rPr>
          <w:rFonts w:ascii="Times New Roman" w:hAnsi="Times New Roman" w:cs="Times New Roman"/>
        </w:rPr>
        <w:t xml:space="preserve"> "Об образовании в Российской Федерации".</w:t>
      </w:r>
      <w:r>
        <w:rPr>
          <w:rFonts w:ascii="Times New Roman" w:hAnsi="Times New Roman" w:cs="Times New Roman"/>
        </w:rPr>
        <w:t xml:space="preserve"> 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7000C">
        <w:rPr>
          <w:rFonts w:ascii="Times New Roman" w:hAnsi="Times New Roman" w:cs="Times New Roman"/>
        </w:rPr>
        <w:t>образовательных  услуг</w:t>
      </w:r>
      <w:proofErr w:type="gramEnd"/>
      <w:r w:rsidRPr="0007000C">
        <w:rPr>
          <w:rFonts w:ascii="Times New Roman" w:hAnsi="Times New Roman" w:cs="Times New Roman"/>
        </w:rPr>
        <w:t xml:space="preserve">,  предусмотренных  </w:t>
      </w:r>
      <w:hyperlink r:id="rId9" w:history="1">
        <w:r w:rsidRPr="00AF6A8F">
          <w:rPr>
            <w:rFonts w:ascii="Times New Roman" w:hAnsi="Times New Roman" w:cs="Times New Roman"/>
          </w:rPr>
          <w:t>разделом  I</w:t>
        </w:r>
      </w:hyperlink>
      <w:r w:rsidRPr="0007000C">
        <w:rPr>
          <w:rFonts w:ascii="Times New Roman" w:hAnsi="Times New Roman" w:cs="Times New Roman"/>
        </w:rPr>
        <w:t xml:space="preserve">  настоящего Договора.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000C">
        <w:rPr>
          <w:rFonts w:ascii="Times New Roman" w:hAnsi="Times New Roman" w:cs="Times New Roman"/>
        </w:rPr>
        <w:t xml:space="preserve">Образовательные   услуги   оказываются   в   соответствии   </w:t>
      </w:r>
      <w:proofErr w:type="gramStart"/>
      <w:r w:rsidRPr="0007000C">
        <w:rPr>
          <w:rFonts w:ascii="Times New Roman" w:hAnsi="Times New Roman" w:cs="Times New Roman"/>
        </w:rPr>
        <w:t>с  учебным</w:t>
      </w:r>
      <w:proofErr w:type="gramEnd"/>
      <w:r w:rsidRPr="0007000C">
        <w:rPr>
          <w:rFonts w:ascii="Times New Roman" w:hAnsi="Times New Roman" w:cs="Times New Roman"/>
        </w:rPr>
        <w:t xml:space="preserve"> планом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и расписанием занятий Исполнителя.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 xml:space="preserve">образовательной программой условия ее </w:t>
      </w:r>
      <w:r w:rsidRPr="0007000C">
        <w:rPr>
          <w:rFonts w:ascii="Times New Roman" w:hAnsi="Times New Roman" w:cs="Times New Roman"/>
        </w:rPr>
        <w:lastRenderedPageBreak/>
        <w:t>освоения, а также специальные условия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возможностями здоровья или инвалидом).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3.1.5.  </w:t>
      </w:r>
      <w:proofErr w:type="gramStart"/>
      <w:r w:rsidRPr="0007000C">
        <w:rPr>
          <w:rFonts w:ascii="Times New Roman" w:hAnsi="Times New Roman" w:cs="Times New Roman"/>
        </w:rPr>
        <w:t>Сохранить  место</w:t>
      </w:r>
      <w:proofErr w:type="gramEnd"/>
      <w:r w:rsidRPr="0007000C">
        <w:rPr>
          <w:rFonts w:ascii="Times New Roman" w:hAnsi="Times New Roman" w:cs="Times New Roman"/>
        </w:rPr>
        <w:t xml:space="preserve">  за  Обучающимся  в случае пропуска занятий по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уважительным  причинам</w:t>
      </w:r>
      <w:r>
        <w:rPr>
          <w:rFonts w:ascii="Times New Roman" w:hAnsi="Times New Roman" w:cs="Times New Roman"/>
        </w:rPr>
        <w:t>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3.1.6.   Принимать   от   Обучающегося   </w:t>
      </w:r>
      <w:proofErr w:type="gramStart"/>
      <w:r w:rsidRPr="0007000C">
        <w:rPr>
          <w:rFonts w:ascii="Times New Roman" w:hAnsi="Times New Roman" w:cs="Times New Roman"/>
        </w:rPr>
        <w:t>и  (</w:t>
      </w:r>
      <w:proofErr w:type="gramEnd"/>
      <w:r w:rsidRPr="0007000C">
        <w:rPr>
          <w:rFonts w:ascii="Times New Roman" w:hAnsi="Times New Roman" w:cs="Times New Roman"/>
        </w:rPr>
        <w:t>или)  Заказчика  плату  за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образовательные услуги.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3.1.7.  </w:t>
      </w:r>
      <w:proofErr w:type="gramStart"/>
      <w:r w:rsidRPr="0007000C">
        <w:rPr>
          <w:rFonts w:ascii="Times New Roman" w:hAnsi="Times New Roman" w:cs="Times New Roman"/>
        </w:rPr>
        <w:t>Обеспечить  Обучающемуся</w:t>
      </w:r>
      <w:proofErr w:type="gramEnd"/>
      <w:r w:rsidRPr="0007000C">
        <w:rPr>
          <w:rFonts w:ascii="Times New Roman" w:hAnsi="Times New Roman" w:cs="Times New Roman"/>
        </w:rPr>
        <w:t xml:space="preserve">  уважение  человеческого  достоинства,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защиту  от  всех  форм  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личности, охрану жизни и здоровья.</w:t>
      </w:r>
    </w:p>
    <w:p w:rsidR="002C30E1" w:rsidRPr="002F288C" w:rsidRDefault="002C30E1" w:rsidP="002C30E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7000C">
        <w:rPr>
          <w:rFonts w:ascii="Times New Roman" w:hAnsi="Times New Roman" w:cs="Times New Roman"/>
        </w:rPr>
        <w:t xml:space="preserve">    </w:t>
      </w:r>
      <w:r w:rsidRPr="002F288C">
        <w:rPr>
          <w:rFonts w:ascii="Times New Roman" w:hAnsi="Times New Roman" w:cs="Times New Roman"/>
          <w:u w:val="single"/>
        </w:rPr>
        <w:t>3.2. Заказчик обязан: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3.2.1.  </w:t>
      </w:r>
      <w:proofErr w:type="gramStart"/>
      <w:r w:rsidRPr="0007000C">
        <w:rPr>
          <w:rFonts w:ascii="Times New Roman" w:hAnsi="Times New Roman" w:cs="Times New Roman"/>
        </w:rPr>
        <w:t>Своевременно  вносить</w:t>
      </w:r>
      <w:proofErr w:type="gramEnd"/>
      <w:r w:rsidRPr="0007000C">
        <w:rPr>
          <w:rFonts w:ascii="Times New Roman" w:hAnsi="Times New Roman" w:cs="Times New Roman"/>
        </w:rPr>
        <w:t xml:space="preserve">  плату  за  предоставляемые  Обучающемуся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образовательные  услуги,  в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размере  и порядке, определенных настоящим Договором, а также предоставлять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платежные документы, подтверждающие оплату.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3.2.2.   Извещать   Исполнителя   </w:t>
      </w:r>
      <w:proofErr w:type="gramStart"/>
      <w:r w:rsidRPr="0007000C">
        <w:rPr>
          <w:rFonts w:ascii="Times New Roman" w:hAnsi="Times New Roman" w:cs="Times New Roman"/>
        </w:rPr>
        <w:t>о  причинах</w:t>
      </w:r>
      <w:proofErr w:type="gramEnd"/>
      <w:r w:rsidRPr="0007000C">
        <w:rPr>
          <w:rFonts w:ascii="Times New Roman" w:hAnsi="Times New Roman" w:cs="Times New Roman"/>
        </w:rPr>
        <w:t xml:space="preserve">  отсутствия  на  занятиях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 xml:space="preserve">Обучающегося в случае, если </w:t>
      </w:r>
      <w:r>
        <w:rPr>
          <w:rFonts w:ascii="Times New Roman" w:hAnsi="Times New Roman" w:cs="Times New Roman"/>
        </w:rPr>
        <w:t xml:space="preserve">                          </w:t>
      </w:r>
      <w:r w:rsidRPr="0007000C">
        <w:rPr>
          <w:rFonts w:ascii="Times New Roman" w:hAnsi="Times New Roman" w:cs="Times New Roman"/>
        </w:rPr>
        <w:t>у Обучающегося отсутствует такая возможность.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3.3. Обучающийся обязан соблюдать требования, установленные в </w:t>
      </w:r>
      <w:hyperlink r:id="rId10" w:history="1">
        <w:r w:rsidRPr="0007000C">
          <w:rPr>
            <w:rFonts w:ascii="Times New Roman" w:hAnsi="Times New Roman" w:cs="Times New Roman"/>
            <w:color w:val="0000FF"/>
          </w:rPr>
          <w:t>статье 43</w:t>
        </w:r>
      </w:hyperlink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Федерального  закона  от  29  декабря  2012  г.  N 273-ФЗ "Об образовании в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Российской Федерации", в том числе: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3.3.1.  </w:t>
      </w:r>
      <w:proofErr w:type="gramStart"/>
      <w:r w:rsidRPr="0007000C">
        <w:rPr>
          <w:rFonts w:ascii="Times New Roman" w:hAnsi="Times New Roman" w:cs="Times New Roman"/>
        </w:rPr>
        <w:t>Выполнять  задания</w:t>
      </w:r>
      <w:proofErr w:type="gramEnd"/>
      <w:r w:rsidRPr="0007000C">
        <w:rPr>
          <w:rFonts w:ascii="Times New Roman" w:hAnsi="Times New Roman" w:cs="Times New Roman"/>
        </w:rPr>
        <w:t xml:space="preserve">  для  подготовки к занятиям, предусмотренным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учебным планом, в том числе индивидуальным.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3.3.2. Извещать Исполнителя о причинах отсутствия на занятиях (в случае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если не известил Заказчик).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07000C">
        <w:rPr>
          <w:rFonts w:ascii="Times New Roman" w:hAnsi="Times New Roman" w:cs="Times New Roman"/>
        </w:rPr>
        <w:t xml:space="preserve">    3.3.</w:t>
      </w:r>
      <w:r>
        <w:rPr>
          <w:rFonts w:ascii="Times New Roman" w:hAnsi="Times New Roman" w:cs="Times New Roman"/>
        </w:rPr>
        <w:t>3</w:t>
      </w:r>
      <w:r w:rsidRPr="0007000C">
        <w:rPr>
          <w:rFonts w:ascii="Times New Roman" w:hAnsi="Times New Roman" w:cs="Times New Roman"/>
        </w:rPr>
        <w:t xml:space="preserve">.   Соблюдать   требования   учредительных   </w:t>
      </w:r>
      <w:proofErr w:type="gramStart"/>
      <w:r w:rsidRPr="0007000C">
        <w:rPr>
          <w:rFonts w:ascii="Times New Roman" w:hAnsi="Times New Roman" w:cs="Times New Roman"/>
        </w:rPr>
        <w:t xml:space="preserve">документов,   </w:t>
      </w:r>
      <w:proofErr w:type="gramEnd"/>
      <w:r w:rsidRPr="0007000C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07000C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2C30E1" w:rsidRPr="0007000C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AF6A8F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F6A8F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2C30E1" w:rsidRPr="00AF6A8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AF6A8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F6A8F">
        <w:rPr>
          <w:rFonts w:ascii="Times New Roman" w:hAnsi="Times New Roman" w:cs="Times New Roman"/>
        </w:rPr>
        <w:t xml:space="preserve">    4.1.  </w:t>
      </w:r>
      <w:proofErr w:type="gramStart"/>
      <w:r w:rsidRPr="00AF6A8F">
        <w:rPr>
          <w:rFonts w:ascii="Times New Roman" w:hAnsi="Times New Roman" w:cs="Times New Roman"/>
        </w:rPr>
        <w:t>Полная  стоимость</w:t>
      </w:r>
      <w:proofErr w:type="gramEnd"/>
      <w:r w:rsidRPr="00AF6A8F">
        <w:rPr>
          <w:rFonts w:ascii="Times New Roman" w:hAnsi="Times New Roman" w:cs="Times New Roman"/>
        </w:rPr>
        <w:t xml:space="preserve">  платных  образовательных  услуг за </w:t>
      </w:r>
      <w:r>
        <w:rPr>
          <w:rFonts w:ascii="Times New Roman" w:hAnsi="Times New Roman" w:cs="Times New Roman"/>
        </w:rPr>
        <w:t xml:space="preserve">месяц </w:t>
      </w:r>
      <w:r w:rsidRPr="00AF6A8F">
        <w:rPr>
          <w:rFonts w:ascii="Times New Roman" w:hAnsi="Times New Roman" w:cs="Times New Roman"/>
        </w:rPr>
        <w:t xml:space="preserve">обучения Обучающегося составляет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___________</w:t>
      </w:r>
      <w:r w:rsidRPr="00C267FF">
        <w:rPr>
          <w:rFonts w:ascii="Times New Roman" w:hAnsi="Times New Roman" w:cs="Times New Roman"/>
          <w:b/>
        </w:rPr>
        <w:t>рублей</w:t>
      </w:r>
      <w:r w:rsidRPr="00AF6A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 весь период обучения </w:t>
      </w:r>
      <w:r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</w:rPr>
        <w:t>рублей.</w:t>
      </w:r>
      <w:r w:rsidRPr="00AF6A8F">
        <w:rPr>
          <w:rFonts w:ascii="Times New Roman" w:hAnsi="Times New Roman" w:cs="Times New Roman"/>
        </w:rPr>
        <w:t xml:space="preserve">    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F6A8F">
        <w:rPr>
          <w:rFonts w:ascii="Times New Roman" w:hAnsi="Times New Roman" w:cs="Times New Roman"/>
        </w:rPr>
        <w:t>допускается,  за</w:t>
      </w:r>
      <w:proofErr w:type="gramEnd"/>
      <w:r w:rsidRPr="00AF6A8F">
        <w:rPr>
          <w:rFonts w:ascii="Times New Roman" w:hAnsi="Times New Roman" w:cs="Times New Roman"/>
        </w:rPr>
        <w:t xml:space="preserve">  исключением увеличения стоимости указанных услуг с учетом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уровня  инфляции,  предусмотренного основными характеристиками федерального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бюджета на очередной финансовый год и плановый период.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 xml:space="preserve">  Исполнитель  вправе  снизить стоимость платных образовательных услуг по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услуг  за  счет  собственных  средств  Исполнителя,  в  том  числе средств,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порядке,  установленном локальным нормативным актом Исполнителя, доведенном</w:t>
      </w:r>
      <w:r>
        <w:rPr>
          <w:rFonts w:ascii="Times New Roman" w:hAnsi="Times New Roman" w:cs="Times New Roman"/>
        </w:rPr>
        <w:t xml:space="preserve"> </w:t>
      </w:r>
      <w:r w:rsidRPr="00AF6A8F">
        <w:rPr>
          <w:rFonts w:ascii="Times New Roman" w:hAnsi="Times New Roman" w:cs="Times New Roman"/>
        </w:rPr>
        <w:t>до сведения.</w:t>
      </w:r>
    </w:p>
    <w:p w:rsidR="002C30E1" w:rsidRPr="00AF6A8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F6A8F">
        <w:rPr>
          <w:rFonts w:ascii="Times New Roman" w:hAnsi="Times New Roman" w:cs="Times New Roman"/>
        </w:rPr>
        <w:t xml:space="preserve">    4.2. Оплата производится </w:t>
      </w:r>
      <w:r>
        <w:rPr>
          <w:rFonts w:ascii="Times New Roman" w:hAnsi="Times New Roman" w:cs="Times New Roman"/>
        </w:rPr>
        <w:t xml:space="preserve">ежемесячно, </w:t>
      </w:r>
      <w:r w:rsidRPr="00E80CE1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15</w:t>
      </w:r>
      <w:r w:rsidRPr="00E80CE1">
        <w:rPr>
          <w:rFonts w:ascii="Times New Roman" w:hAnsi="Times New Roman" w:cs="Times New Roman"/>
        </w:rPr>
        <w:t xml:space="preserve"> числа</w:t>
      </w:r>
      <w:r w:rsidRPr="006A2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следующего за месяцем в течение, которого были оказаны образовательные услуги.</w:t>
      </w:r>
    </w:p>
    <w:p w:rsidR="002C30E1" w:rsidRDefault="002C30E1" w:rsidP="002C30E1">
      <w:pPr>
        <w:jc w:val="center"/>
        <w:rPr>
          <w:b/>
          <w:bCs/>
          <w:sz w:val="22"/>
          <w:szCs w:val="22"/>
        </w:rPr>
      </w:pPr>
    </w:p>
    <w:p w:rsidR="002C30E1" w:rsidRPr="00A91192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91192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5.1.  </w:t>
      </w:r>
      <w:proofErr w:type="gramStart"/>
      <w:r w:rsidRPr="00A91192">
        <w:rPr>
          <w:rFonts w:ascii="Times New Roman" w:hAnsi="Times New Roman" w:cs="Times New Roman"/>
        </w:rPr>
        <w:t>Условия,  на</w:t>
      </w:r>
      <w:proofErr w:type="gramEnd"/>
      <w:r w:rsidRPr="00A91192">
        <w:rPr>
          <w:rFonts w:ascii="Times New Roman" w:hAnsi="Times New Roman" w:cs="Times New Roman"/>
        </w:rPr>
        <w:t xml:space="preserve">  которых  заключен  настоящий  Договор,  могут  быть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изменены  по  соглашению  Сторон  или  в  соответствии  с законодательством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Российской Федерации.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5.2. Настоящий Договор может быть расторгнут по соглашению Сторон.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5.3.  Настоящий Договор может быть расторгнут по инициативе Исполнителя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в одностороннем порядке в случаях: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>просрочки оплаты стоимости платных образовательных услуг;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1192">
        <w:rPr>
          <w:rFonts w:ascii="Times New Roman" w:hAnsi="Times New Roman" w:cs="Times New Roman"/>
        </w:rPr>
        <w:t>невозможности  надлежащего</w:t>
      </w:r>
      <w:proofErr w:type="gramEnd"/>
      <w:r w:rsidRPr="00A91192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</w:t>
      </w:r>
      <w:proofErr w:type="gramStart"/>
      <w:r w:rsidRPr="00A91192">
        <w:rPr>
          <w:rFonts w:ascii="Times New Roman" w:hAnsi="Times New Roman" w:cs="Times New Roman"/>
        </w:rPr>
        <w:t>по  инициативе</w:t>
      </w:r>
      <w:proofErr w:type="gramEnd"/>
      <w:r w:rsidRPr="00A91192">
        <w:rPr>
          <w:rFonts w:ascii="Times New Roman" w:hAnsi="Times New Roman" w:cs="Times New Roman"/>
        </w:rPr>
        <w:t xml:space="preserve">  Обучающегося  или  родителей  (законных представителей)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 xml:space="preserve">несовершеннолетнего   Обучающегося   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>в случае просрочки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оплаты  стоимости  платной  образовательной  услуги  по  обучению  в рамках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вследствие действий (бездействия) Обучающегося;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по  обстоятельствам,  не  зависящим  от воли Обучающегося или родителей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том числе в случае ликвидации Исполнителя.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5.5.  </w:t>
      </w:r>
      <w:proofErr w:type="gramStart"/>
      <w:r w:rsidRPr="00A91192">
        <w:rPr>
          <w:rFonts w:ascii="Times New Roman" w:hAnsi="Times New Roman" w:cs="Times New Roman"/>
        </w:rPr>
        <w:t>Исполнитель  вправе</w:t>
      </w:r>
      <w:proofErr w:type="gramEnd"/>
      <w:r w:rsidRPr="00A91192">
        <w:rPr>
          <w:rFonts w:ascii="Times New Roman" w:hAnsi="Times New Roman" w:cs="Times New Roman"/>
        </w:rPr>
        <w:t xml:space="preserve">  отказаться  от  исполнения  обязательств  по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2C30E1" w:rsidRPr="00A91192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A91192">
        <w:rPr>
          <w:rFonts w:ascii="Times New Roman" w:hAnsi="Times New Roman" w:cs="Times New Roman"/>
        </w:rPr>
        <w:t xml:space="preserve">    5.6.  Заказчик   вправе отказаться от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1192">
        <w:rPr>
          <w:rFonts w:ascii="Times New Roman" w:hAnsi="Times New Roman" w:cs="Times New Roman"/>
        </w:rPr>
        <w:t>исполнения  настоящего</w:t>
      </w:r>
      <w:proofErr w:type="gramEnd"/>
      <w:r w:rsidRPr="00A91192">
        <w:rPr>
          <w:rFonts w:ascii="Times New Roman" w:hAnsi="Times New Roman" w:cs="Times New Roman"/>
        </w:rPr>
        <w:t xml:space="preserve">  Договора  при условии оплаты Исполнителю фактически</w:t>
      </w:r>
      <w:r>
        <w:rPr>
          <w:rFonts w:ascii="Times New Roman" w:hAnsi="Times New Roman" w:cs="Times New Roman"/>
        </w:rPr>
        <w:t xml:space="preserve"> </w:t>
      </w:r>
      <w:r w:rsidRPr="00A91192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2C30E1" w:rsidRDefault="002C30E1" w:rsidP="002C30E1">
      <w:pPr>
        <w:jc w:val="center"/>
        <w:rPr>
          <w:b/>
          <w:bCs/>
          <w:sz w:val="22"/>
          <w:szCs w:val="22"/>
        </w:rPr>
      </w:pPr>
    </w:p>
    <w:p w:rsidR="002C30E1" w:rsidRPr="00B8510F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510F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8510F">
        <w:rPr>
          <w:rFonts w:ascii="Times New Roman" w:hAnsi="Times New Roman" w:cs="Times New Roman"/>
        </w:rPr>
        <w:t>Договору  Стороны</w:t>
      </w:r>
      <w:proofErr w:type="gramEnd"/>
      <w:r w:rsidRPr="00B8510F">
        <w:rPr>
          <w:rFonts w:ascii="Times New Roman" w:hAnsi="Times New Roman" w:cs="Times New Roman"/>
        </w:rPr>
        <w:t xml:space="preserve">  несут ответственность, предусмотренную законодательством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Российской Федерации и Договором.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6.2.  </w:t>
      </w:r>
      <w:proofErr w:type="gramStart"/>
      <w:r w:rsidRPr="00B8510F">
        <w:rPr>
          <w:rFonts w:ascii="Times New Roman" w:hAnsi="Times New Roman" w:cs="Times New Roman"/>
        </w:rPr>
        <w:t>При  обнаружении</w:t>
      </w:r>
      <w:proofErr w:type="gramEnd"/>
      <w:r w:rsidRPr="00B8510F">
        <w:rPr>
          <w:rFonts w:ascii="Times New Roman" w:hAnsi="Times New Roman" w:cs="Times New Roman"/>
        </w:rPr>
        <w:t xml:space="preserve">  недостатка  образовательной услуги, в том числе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оказания   ее   не   в   полном  объеме,  предусмотренном  образовательными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программами  (частью  образовательной программы), Заказчик вправе по своему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выбору потребовать: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6.2.2.  </w:t>
      </w:r>
      <w:proofErr w:type="gramStart"/>
      <w:r w:rsidRPr="00B8510F">
        <w:rPr>
          <w:rFonts w:ascii="Times New Roman" w:hAnsi="Times New Roman" w:cs="Times New Roman"/>
        </w:rPr>
        <w:t>Соразмерного  уменьшения</w:t>
      </w:r>
      <w:proofErr w:type="gramEnd"/>
      <w:r w:rsidRPr="00B8510F">
        <w:rPr>
          <w:rFonts w:ascii="Times New Roman" w:hAnsi="Times New Roman" w:cs="Times New Roman"/>
        </w:rPr>
        <w:t xml:space="preserve">  стоимости  оказанной  образовательной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услуги.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6.2.3.  </w:t>
      </w:r>
      <w:proofErr w:type="gramStart"/>
      <w:r w:rsidRPr="00B8510F">
        <w:rPr>
          <w:rFonts w:ascii="Times New Roman" w:hAnsi="Times New Roman" w:cs="Times New Roman"/>
        </w:rPr>
        <w:t>Возмещения  понесенных</w:t>
      </w:r>
      <w:proofErr w:type="gramEnd"/>
      <w:r w:rsidRPr="00B8510F">
        <w:rPr>
          <w:rFonts w:ascii="Times New Roman" w:hAnsi="Times New Roman" w:cs="Times New Roman"/>
        </w:rPr>
        <w:t xml:space="preserve">  им  расходов  по устранению недостатков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 xml:space="preserve">оказанной образовательной услуги своими </w:t>
      </w:r>
      <w:r w:rsidRPr="00B8510F">
        <w:rPr>
          <w:rFonts w:ascii="Times New Roman" w:hAnsi="Times New Roman" w:cs="Times New Roman"/>
        </w:rPr>
        <w:lastRenderedPageBreak/>
        <w:t>силами или третьими лицами.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6.3.  </w:t>
      </w:r>
      <w:proofErr w:type="gramStart"/>
      <w:r w:rsidRPr="00B8510F">
        <w:rPr>
          <w:rFonts w:ascii="Times New Roman" w:hAnsi="Times New Roman" w:cs="Times New Roman"/>
        </w:rPr>
        <w:t>Заказчик  вправе</w:t>
      </w:r>
      <w:proofErr w:type="gramEnd"/>
      <w:r w:rsidRPr="00B8510F">
        <w:rPr>
          <w:rFonts w:ascii="Times New Roman" w:hAnsi="Times New Roman" w:cs="Times New Roman"/>
        </w:rPr>
        <w:t xml:space="preserve">  отказаться от исполнения Договора и потребовать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 xml:space="preserve">полного возмещения убытков, если в </w:t>
      </w:r>
      <w:r>
        <w:rPr>
          <w:rFonts w:ascii="Times New Roman" w:hAnsi="Times New Roman" w:cs="Times New Roman"/>
        </w:rPr>
        <w:t>течение месяца, следующего за отчетным</w:t>
      </w:r>
      <w:r w:rsidRPr="00B8510F">
        <w:rPr>
          <w:rFonts w:ascii="Times New Roman" w:hAnsi="Times New Roman" w:cs="Times New Roman"/>
        </w:rPr>
        <w:t xml:space="preserve"> недостатки образовательной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 xml:space="preserve">услуги  не  устранены  Исполнителем.  </w:t>
      </w:r>
      <w:proofErr w:type="gramStart"/>
      <w:r w:rsidRPr="00B8510F">
        <w:rPr>
          <w:rFonts w:ascii="Times New Roman" w:hAnsi="Times New Roman" w:cs="Times New Roman"/>
        </w:rPr>
        <w:t>Заказчик  также</w:t>
      </w:r>
      <w:proofErr w:type="gramEnd"/>
      <w:r w:rsidRPr="00B8510F">
        <w:rPr>
          <w:rFonts w:ascii="Times New Roman" w:hAnsi="Times New Roman" w:cs="Times New Roman"/>
        </w:rPr>
        <w:t xml:space="preserve">  вправе отказаться от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исполнения Договора, если им обнаружен  существенный  недостаток  оказанной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образовательной   услуги  или  иные  существенные  отступления  от  условий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Договора.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6.4.  </w:t>
      </w:r>
      <w:proofErr w:type="gramStart"/>
      <w:r w:rsidRPr="00B8510F">
        <w:rPr>
          <w:rFonts w:ascii="Times New Roman" w:hAnsi="Times New Roman" w:cs="Times New Roman"/>
        </w:rPr>
        <w:t>Если  Исполнитель</w:t>
      </w:r>
      <w:proofErr w:type="gramEnd"/>
      <w:r w:rsidRPr="00B8510F">
        <w:rPr>
          <w:rFonts w:ascii="Times New Roman" w:hAnsi="Times New Roman" w:cs="Times New Roman"/>
        </w:rPr>
        <w:t xml:space="preserve">  нарушил  сроки оказания образовательной услуги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(сроки  начала  и  (или)  окончания оказания образовательной услуги и (или)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промежуточные  сроки  оказания  образовательной  услуги) либо если во время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оказания   образовательной   услуги  стало  очевидным,  что  она  не  будет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8510F">
        <w:rPr>
          <w:rFonts w:ascii="Times New Roman" w:hAnsi="Times New Roman" w:cs="Times New Roman"/>
        </w:rPr>
        <w:t>должен  приступить</w:t>
      </w:r>
      <w:proofErr w:type="gramEnd"/>
      <w:r w:rsidRPr="00B8510F">
        <w:rPr>
          <w:rFonts w:ascii="Times New Roman" w:hAnsi="Times New Roman" w:cs="Times New Roman"/>
        </w:rPr>
        <w:t xml:space="preserve">  к  оказанию  образовательной  услуги  и (или) закончить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оказание образовательной услуги.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6.4.2.   </w:t>
      </w:r>
      <w:proofErr w:type="gramStart"/>
      <w:r w:rsidRPr="00B8510F">
        <w:rPr>
          <w:rFonts w:ascii="Times New Roman" w:hAnsi="Times New Roman" w:cs="Times New Roman"/>
        </w:rPr>
        <w:t>Поручить  оказать</w:t>
      </w:r>
      <w:proofErr w:type="gramEnd"/>
      <w:r w:rsidRPr="00B8510F">
        <w:rPr>
          <w:rFonts w:ascii="Times New Roman" w:hAnsi="Times New Roman" w:cs="Times New Roman"/>
        </w:rPr>
        <w:t xml:space="preserve">  образовательную  услугу  третьим  лицам  за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6.4.4. Расторгнуть Договор.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B8510F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proofErr w:type="gramStart"/>
      <w:r w:rsidRPr="00B8510F">
        <w:rPr>
          <w:rFonts w:ascii="Times New Roman" w:hAnsi="Times New Roman" w:cs="Times New Roman"/>
        </w:rPr>
        <w:t>возмещения  убытков</w:t>
      </w:r>
      <w:proofErr w:type="gramEnd"/>
      <w:r w:rsidRPr="00B85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причиненных  ему  в  связи  с  нарушением  сроков  начала и (или) окончания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оказания   образовательной   услуги,   а   также  в  связи  с  недостатками</w:t>
      </w:r>
      <w:r>
        <w:rPr>
          <w:rFonts w:ascii="Times New Roman" w:hAnsi="Times New Roman" w:cs="Times New Roman"/>
        </w:rPr>
        <w:t xml:space="preserve"> </w:t>
      </w:r>
      <w:r w:rsidRPr="00B8510F">
        <w:rPr>
          <w:rFonts w:ascii="Times New Roman" w:hAnsi="Times New Roman" w:cs="Times New Roman"/>
        </w:rPr>
        <w:t>образовательной услуги.</w:t>
      </w:r>
    </w:p>
    <w:p w:rsidR="002C30E1" w:rsidRPr="00B8510F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815966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5966">
        <w:rPr>
          <w:rFonts w:ascii="Times New Roman" w:hAnsi="Times New Roman" w:cs="Times New Roman"/>
          <w:b/>
        </w:rPr>
        <w:t>VII. Срок действия Договора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815966" w:rsidRDefault="002C30E1" w:rsidP="002C30E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5966">
        <w:rPr>
          <w:rFonts w:ascii="Times New Roman" w:hAnsi="Times New Roman" w:cs="Times New Roman"/>
          <w:b/>
        </w:rPr>
        <w:t>VIII. Заключительные положения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 xml:space="preserve">    8.1.   </w:t>
      </w:r>
      <w:proofErr w:type="gramStart"/>
      <w:r w:rsidRPr="00815966">
        <w:rPr>
          <w:rFonts w:ascii="Times New Roman" w:hAnsi="Times New Roman" w:cs="Times New Roman"/>
        </w:rPr>
        <w:t xml:space="preserve">Сведения,   </w:t>
      </w:r>
      <w:proofErr w:type="gramEnd"/>
      <w:r w:rsidRPr="00815966">
        <w:rPr>
          <w:rFonts w:ascii="Times New Roman" w:hAnsi="Times New Roman" w:cs="Times New Roman"/>
        </w:rPr>
        <w:t>указанные   в   настоящем   Договоре,  соответствуют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>Договора.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 xml:space="preserve">    8.2.  </w:t>
      </w:r>
      <w:proofErr w:type="gramStart"/>
      <w:r w:rsidRPr="00815966">
        <w:rPr>
          <w:rFonts w:ascii="Times New Roman" w:hAnsi="Times New Roman" w:cs="Times New Roman"/>
        </w:rPr>
        <w:t>Под  периодом</w:t>
      </w:r>
      <w:proofErr w:type="gramEnd"/>
      <w:r w:rsidRPr="00815966">
        <w:rPr>
          <w:rFonts w:ascii="Times New Roman" w:hAnsi="Times New Roman" w:cs="Times New Roman"/>
        </w:rPr>
        <w:t xml:space="preserve">  предоставления  образовательной  услуги  (периодом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>обучения) понимается промежуток времени с даты издания приказа о зачислении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 xml:space="preserve">Обучающегося  в  </w:t>
      </w:r>
      <w:r>
        <w:rPr>
          <w:rFonts w:ascii="Times New Roman" w:hAnsi="Times New Roman" w:cs="Times New Roman"/>
        </w:rPr>
        <w:t>группу по оказанию платных образовательных услуг</w:t>
      </w:r>
      <w:r w:rsidRPr="00815966">
        <w:rPr>
          <w:rFonts w:ascii="Times New Roman" w:hAnsi="Times New Roman" w:cs="Times New Roman"/>
        </w:rPr>
        <w:t xml:space="preserve">  до  даты  издания приказа об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 xml:space="preserve">окончании   обучения   или   отчислении   Обучающегося  из  </w:t>
      </w:r>
      <w:r>
        <w:rPr>
          <w:rFonts w:ascii="Times New Roman" w:hAnsi="Times New Roman" w:cs="Times New Roman"/>
        </w:rPr>
        <w:t>группы</w:t>
      </w:r>
      <w:r w:rsidRPr="00815966">
        <w:rPr>
          <w:rFonts w:ascii="Times New Roman" w:hAnsi="Times New Roman" w:cs="Times New Roman"/>
        </w:rPr>
        <w:t>.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 xml:space="preserve">    8.3. Настоящий Договор составлен в </w:t>
      </w:r>
      <w:r>
        <w:rPr>
          <w:rFonts w:ascii="Times New Roman" w:hAnsi="Times New Roman" w:cs="Times New Roman"/>
        </w:rPr>
        <w:t>2-х</w:t>
      </w:r>
      <w:r w:rsidRPr="00815966">
        <w:rPr>
          <w:rFonts w:ascii="Times New Roman" w:hAnsi="Times New Roman" w:cs="Times New Roman"/>
        </w:rPr>
        <w:t xml:space="preserve"> экземплярах, по одному для каждой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5966">
        <w:rPr>
          <w:rFonts w:ascii="Times New Roman" w:hAnsi="Times New Roman" w:cs="Times New Roman"/>
        </w:rPr>
        <w:t>из  Сторон</w:t>
      </w:r>
      <w:proofErr w:type="gramEnd"/>
      <w:r w:rsidRPr="00815966">
        <w:rPr>
          <w:rFonts w:ascii="Times New Roman" w:hAnsi="Times New Roman" w:cs="Times New Roman"/>
        </w:rPr>
        <w:t xml:space="preserve">.  </w:t>
      </w:r>
      <w:proofErr w:type="gramStart"/>
      <w:r w:rsidRPr="00815966">
        <w:rPr>
          <w:rFonts w:ascii="Times New Roman" w:hAnsi="Times New Roman" w:cs="Times New Roman"/>
        </w:rPr>
        <w:t>Все  экземпляры</w:t>
      </w:r>
      <w:proofErr w:type="gramEnd"/>
      <w:r w:rsidRPr="00815966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5966">
        <w:rPr>
          <w:rFonts w:ascii="Times New Roman" w:hAnsi="Times New Roman" w:cs="Times New Roman"/>
        </w:rPr>
        <w:t>дополнения  настоящего</w:t>
      </w:r>
      <w:proofErr w:type="gramEnd"/>
      <w:r w:rsidRPr="00815966">
        <w:rPr>
          <w:rFonts w:ascii="Times New Roman" w:hAnsi="Times New Roman" w:cs="Times New Roman"/>
        </w:rPr>
        <w:t xml:space="preserve">  Договора  могут  производиться  только в письменной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2C30E1" w:rsidRPr="00815966" w:rsidRDefault="002C30E1" w:rsidP="002C30E1">
      <w:pPr>
        <w:pStyle w:val="ConsPlusNonformat"/>
        <w:jc w:val="both"/>
        <w:rPr>
          <w:rFonts w:ascii="Times New Roman" w:hAnsi="Times New Roman" w:cs="Times New Roman"/>
        </w:rPr>
      </w:pPr>
      <w:r w:rsidRPr="00815966">
        <w:rPr>
          <w:rFonts w:ascii="Times New Roman" w:hAnsi="Times New Roman" w:cs="Times New Roman"/>
        </w:rPr>
        <w:t xml:space="preserve">    8.4.  </w:t>
      </w:r>
      <w:proofErr w:type="gramStart"/>
      <w:r w:rsidRPr="00815966">
        <w:rPr>
          <w:rFonts w:ascii="Times New Roman" w:hAnsi="Times New Roman" w:cs="Times New Roman"/>
        </w:rPr>
        <w:t>Изменения  Договора</w:t>
      </w:r>
      <w:proofErr w:type="gramEnd"/>
      <w:r w:rsidRPr="00815966">
        <w:rPr>
          <w:rFonts w:ascii="Times New Roman" w:hAnsi="Times New Roman" w:cs="Times New Roman"/>
        </w:rPr>
        <w:t xml:space="preserve">  оформляются  дополнительными  соглашениями к</w:t>
      </w:r>
      <w:r>
        <w:rPr>
          <w:rFonts w:ascii="Times New Roman" w:hAnsi="Times New Roman" w:cs="Times New Roman"/>
        </w:rPr>
        <w:t xml:space="preserve"> </w:t>
      </w:r>
      <w:r w:rsidRPr="00815966">
        <w:rPr>
          <w:rFonts w:ascii="Times New Roman" w:hAnsi="Times New Roman" w:cs="Times New Roman"/>
        </w:rPr>
        <w:t>Договору.</w:t>
      </w:r>
    </w:p>
    <w:p w:rsidR="002C30E1" w:rsidRDefault="002C30E1" w:rsidP="002C30E1">
      <w:pPr>
        <w:jc w:val="center"/>
        <w:rPr>
          <w:b/>
          <w:bCs/>
          <w:sz w:val="22"/>
          <w:szCs w:val="22"/>
        </w:rPr>
      </w:pPr>
    </w:p>
    <w:p w:rsidR="002C30E1" w:rsidRDefault="002C30E1" w:rsidP="002C30E1">
      <w:pPr>
        <w:jc w:val="both"/>
        <w:rPr>
          <w:sz w:val="18"/>
          <w:szCs w:val="18"/>
        </w:rPr>
      </w:pPr>
    </w:p>
    <w:p w:rsidR="002C30E1" w:rsidRPr="00E4050E" w:rsidRDefault="002C30E1" w:rsidP="002C30E1">
      <w:pPr>
        <w:pStyle w:val="1"/>
        <w:jc w:val="center"/>
        <w:rPr>
          <w:sz w:val="20"/>
          <w:szCs w:val="20"/>
        </w:rPr>
      </w:pPr>
      <w:r w:rsidRPr="00E4050E">
        <w:rPr>
          <w:sz w:val="20"/>
          <w:szCs w:val="20"/>
        </w:rPr>
        <w:t>Адреса и реквизиты сторон:</w:t>
      </w:r>
    </w:p>
    <w:p w:rsidR="002C30E1" w:rsidRPr="00E4050E" w:rsidRDefault="002C30E1" w:rsidP="002C30E1">
      <w:pPr>
        <w:rPr>
          <w:sz w:val="20"/>
          <w:szCs w:val="20"/>
        </w:rPr>
      </w:pPr>
    </w:p>
    <w:tbl>
      <w:tblPr>
        <w:tblW w:w="102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450"/>
        <w:gridCol w:w="3110"/>
        <w:gridCol w:w="451"/>
        <w:gridCol w:w="3110"/>
      </w:tblGrid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4C7D76" w:rsidRDefault="002C30E1" w:rsidP="006C535F">
            <w:pPr>
              <w:jc w:val="center"/>
              <w:rPr>
                <w:b/>
                <w:sz w:val="18"/>
                <w:szCs w:val="18"/>
              </w:rPr>
            </w:pPr>
            <w:r w:rsidRPr="004C7D76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4C7D76" w:rsidRDefault="002C30E1" w:rsidP="006C535F">
            <w:pPr>
              <w:jc w:val="center"/>
              <w:rPr>
                <w:b/>
                <w:sz w:val="18"/>
                <w:szCs w:val="18"/>
              </w:rPr>
            </w:pPr>
            <w:r w:rsidRPr="004C7D76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4C7D76" w:rsidRDefault="002C30E1" w:rsidP="006C535F">
            <w:pPr>
              <w:jc w:val="center"/>
              <w:rPr>
                <w:b/>
                <w:sz w:val="18"/>
                <w:szCs w:val="18"/>
              </w:rPr>
            </w:pPr>
            <w:r w:rsidRPr="004C7D76">
              <w:rPr>
                <w:b/>
                <w:sz w:val="18"/>
                <w:szCs w:val="18"/>
              </w:rPr>
              <w:t>Потребитель, достигший</w:t>
            </w:r>
            <w:r w:rsidRPr="004C7D76">
              <w:rPr>
                <w:b/>
                <w:sz w:val="18"/>
                <w:szCs w:val="18"/>
              </w:rPr>
              <w:br/>
              <w:t>14-летнего возраста</w:t>
            </w: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общеобразовательное учреждение казачья средняя общеобразовательная школа №19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(Ф.И.О.)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(Ф.И.О.)</w:t>
            </w:r>
          </w:p>
        </w:tc>
      </w:tr>
      <w:tr w:rsidR="002C30E1" w:rsidRPr="00F34EE1" w:rsidTr="006C535F">
        <w:trPr>
          <w:trHeight w:val="600"/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край, г. Пятигорск, пос. Горячеводский, ул.Ленина,25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(паспортные данные)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(паспортные данные)</w:t>
            </w: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Pr="007579D0">
              <w:rPr>
                <w:sz w:val="18"/>
                <w:szCs w:val="18"/>
              </w:rPr>
              <w:t xml:space="preserve"> (8793) 31-21-85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rHeight w:val="735"/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1022601636177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2632056844 КПП 263201001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 xml:space="preserve">(адрес места жительства, </w:t>
            </w:r>
          </w:p>
          <w:p w:rsidR="002C30E1" w:rsidRDefault="002C30E1" w:rsidP="006C535F">
            <w:pPr>
              <w:jc w:val="center"/>
              <w:rPr>
                <w:sz w:val="18"/>
                <w:szCs w:val="18"/>
              </w:rPr>
            </w:pPr>
          </w:p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(адрес места жительства)</w:t>
            </w: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40701810007021000182</w:t>
            </w:r>
          </w:p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Ставрополь г. Ставрополь БИК 040702001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Default="002C30E1" w:rsidP="006C535F">
            <w:pPr>
              <w:jc w:val="center"/>
              <w:rPr>
                <w:sz w:val="18"/>
                <w:szCs w:val="18"/>
              </w:rPr>
            </w:pPr>
          </w:p>
          <w:p w:rsidR="002C30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контактный телефон)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rHeight w:val="600"/>
          <w:tblCellSpacing w:w="0" w:type="dxa"/>
        </w:trPr>
        <w:tc>
          <w:tcPr>
            <w:tcW w:w="31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                      М.Ф. Филь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</w:tr>
      <w:tr w:rsidR="002C30E1" w:rsidRPr="00F34EE1" w:rsidTr="006C535F">
        <w:trPr>
          <w:tblCellSpacing w:w="0" w:type="dxa"/>
        </w:trPr>
        <w:tc>
          <w:tcPr>
            <w:tcW w:w="31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(подпись)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(подпись)</w:t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0E1" w:rsidRPr="00F34EE1" w:rsidRDefault="002C30E1" w:rsidP="006C535F">
            <w:pPr>
              <w:jc w:val="center"/>
              <w:rPr>
                <w:sz w:val="18"/>
                <w:szCs w:val="18"/>
              </w:rPr>
            </w:pPr>
            <w:r w:rsidRPr="00F34EE1">
              <w:rPr>
                <w:sz w:val="18"/>
                <w:szCs w:val="18"/>
              </w:rPr>
              <w:t>(подпись)</w:t>
            </w:r>
          </w:p>
        </w:tc>
      </w:tr>
    </w:tbl>
    <w:p w:rsidR="002C30E1" w:rsidRPr="00F34EE1" w:rsidRDefault="002C30E1" w:rsidP="002C30E1">
      <w:pPr>
        <w:ind w:left="1282"/>
        <w:rPr>
          <w:sz w:val="18"/>
          <w:szCs w:val="18"/>
        </w:rPr>
      </w:pPr>
      <w:r w:rsidRPr="00F34EE1">
        <w:rPr>
          <w:sz w:val="18"/>
          <w:szCs w:val="18"/>
        </w:rPr>
        <w:t>М.П.</w:t>
      </w:r>
    </w:p>
    <w:p w:rsidR="002C30E1" w:rsidRDefault="002C30E1" w:rsidP="002C30E1"/>
    <w:p w:rsidR="002C30E1" w:rsidRDefault="002C30E1" w:rsidP="002C30E1"/>
    <w:p w:rsidR="002C30E1" w:rsidRDefault="002C30E1" w:rsidP="002C30E1"/>
    <w:p w:rsidR="002C30E1" w:rsidRDefault="002C30E1" w:rsidP="002C30E1"/>
    <w:p w:rsidR="002C30E1" w:rsidRPr="00E4050E" w:rsidRDefault="002C30E1" w:rsidP="002C30E1"/>
    <w:p w:rsidR="002C30E1" w:rsidRDefault="002C30E1" w:rsidP="002C30E1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2C30E1" w:rsidRDefault="002C30E1" w:rsidP="002C30E1">
      <w:pPr>
        <w:jc w:val="center"/>
      </w:pPr>
      <w:r w:rsidRPr="00FF30E4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78105</wp:posOffset>
                </wp:positionV>
                <wp:extent cx="2385060" cy="2156460"/>
                <wp:effectExtent l="1905" t="0" r="381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E1" w:rsidRDefault="002C30E1" w:rsidP="002C30E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5.85pt;margin-top:6.15pt;width:187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" stroked="f">
                <v:textbox>
                  <w:txbxContent>
                    <w:p w:rsidR="002C30E1" w:rsidRDefault="002C30E1" w:rsidP="002C30E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126365</wp:posOffset>
                </wp:positionV>
                <wp:extent cx="2110740" cy="188976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E1" w:rsidRPr="00BF58F1" w:rsidRDefault="002C30E1" w:rsidP="002C30E1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58.25pt;margin-top:9.95pt;width:166.2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" stroked="f">
                <v:textbox>
                  <w:txbxContent>
                    <w:p w:rsidR="002C30E1" w:rsidRPr="00BF58F1" w:rsidRDefault="002C30E1" w:rsidP="002C30E1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2C30E1" w:rsidRDefault="002C30E1" w:rsidP="002C30E1">
      <w:pPr>
        <w:jc w:val="center"/>
      </w:pPr>
    </w:p>
    <w:p w:rsidR="007F3D59" w:rsidRDefault="007F3D59"/>
    <w:sectPr w:rsidR="007F3D59" w:rsidSect="00F25E3D">
      <w:pgSz w:w="11906" w:h="16838"/>
      <w:pgMar w:top="79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218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E1"/>
    <w:rsid w:val="002C30E1"/>
    <w:rsid w:val="007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0823"/>
  <w15:chartTrackingRefBased/>
  <w15:docId w15:val="{C5B77A2E-ADC4-4388-9F7F-1E1A7957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0E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qFormat/>
    <w:rsid w:val="002C30E1"/>
    <w:pPr>
      <w:keepNext/>
      <w:numPr>
        <w:numId w:val="1"/>
      </w:numPr>
      <w:jc w:val="both"/>
      <w:outlineLvl w:val="0"/>
    </w:pPr>
    <w:rPr>
      <w:rFonts w:eastAsia="Arial Unicode MS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0E1"/>
    <w:rPr>
      <w:rFonts w:ascii="Times New Roman" w:eastAsia="Arial Unicode MS" w:hAnsi="Times New Roman" w:cs="Times New Roman"/>
      <w:b/>
      <w:bCs/>
      <w:kern w:val="0"/>
      <w:sz w:val="16"/>
      <w:szCs w:val="24"/>
      <w:lang w:eastAsia="ar-SA"/>
      <w14:ligatures w14:val="none"/>
    </w:rPr>
  </w:style>
  <w:style w:type="paragraph" w:styleId="a3">
    <w:basedOn w:val="a"/>
    <w:next w:val="a4"/>
    <w:qFormat/>
    <w:rsid w:val="002C30E1"/>
    <w:pPr>
      <w:jc w:val="center"/>
    </w:pPr>
    <w:rPr>
      <w:b/>
      <w:bCs/>
      <w:sz w:val="16"/>
    </w:rPr>
  </w:style>
  <w:style w:type="paragraph" w:customStyle="1" w:styleId="ConsPlusNonformat">
    <w:name w:val="ConsPlusNonformat"/>
    <w:rsid w:val="002C30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4">
    <w:name w:val="Subtitle"/>
    <w:basedOn w:val="a"/>
    <w:next w:val="a"/>
    <w:link w:val="a5"/>
    <w:uiPriority w:val="11"/>
    <w:qFormat/>
    <w:rsid w:val="002C30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2C30E1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C511B7830C35F5B859A2DE65ECDF033050CC9D6146DBFAE0D0225316AE6CCDD4A1FFFDF8C7541185AE8D74XB0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47C511B7830C35F5B859A2DE65ECDF03305BC8966F46DBFAE0D0225316AE6CCDD4A1FFFDF8C7541185AE8D74XB0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8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47C511B7830C35F5B859A2DE65ECDF033050CC9D6146DBFAE0D0225316AE6CDFD4F9F3FCF9DD521690F8DC32E405F668" TargetMode="External"/><Relationship Id="rId10" Type="http://schemas.openxmlformats.org/officeDocument/2006/relationships/hyperlink" Target="consultantplus://offline/ref=F747C511B7830C35F5B859A2DE65ECDF033050CC9D6146DBFAE0D0225316AE6CDFD4F9F3FCF9DC5C1890F8DC32E405F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2022-11-11T11:31:00Z</dcterms:created>
  <dcterms:modified xsi:type="dcterms:W3CDTF">2022-11-11T11:32:00Z</dcterms:modified>
</cp:coreProperties>
</file>